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BROWN ROBERT G/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SPAR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EAST BOULEVARD, 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SPAR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SGRP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20"/>
        <w:gridCol w:w="934"/>
        <w:gridCol w:w="803"/>
        <w:gridCol w:w="620"/>
        <w:gridCol w:w="339"/>
        <w:gridCol w:w="1011"/>
        <w:gridCol w:w="408"/>
        <w:gridCol w:w="578"/>
        <w:gridCol w:w="1297"/>
        <w:gridCol w:w="957"/>
        <w:gridCol w:w="143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4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$.01 par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135,000</w:t>
            </w:r>
          </w:p>
        </w:tc>
        <w:tc>
          <w:tcPr>
            <w:tcW w:w="4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2,742,389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$.01 par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3,000,000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Innovative Global Technologies LLC.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18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$.01 par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538,194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SPAR Business Services, Inc.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45,000 shares owned by Jean Brown, the wife of Robert G. Brown, as to which Robert G. Brown disclaims any beneficial ownership.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estimated shares deemed to be beneficially owned by Robert and Jean Brown in a defined benefit pension trust due to receiving a pension.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Robert G. Brown is a Manager of Innovative Global Technologies LLC.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Robert G. Brown is the controlling officer/director and a significant stockholder of SPAR Business Services, Inc. (SBS).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G. Brown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90394" TargetMode="External"/><Relationship Id="rId5" Type="http://schemas.openxmlformats.org/officeDocument/2006/relationships/hyperlink" Target="http://www.sec.gov/cgi-bin/browse-edgar?action=getcompany&amp;CIK=00010049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673</Words>
  <Characters>3626</Characters>
  <CharactersWithSpaces>4220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