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grp20260706_8k.htm"/>
      <w:bookmarkStart w:id="1" w:name="kssgrp20260706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w:t>
      </w: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July 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SPAR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3860"/>
        <w:gridCol w:w="1895"/>
        <w:gridCol w:w="2870"/>
      </w:tblGrid>
      <w:tr>
        <w:trPr/>
        <w:tc>
          <w:tcPr>
            <w:tcW w:w="386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0-27408</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33-0684451</w:t>
            </w:r>
          </w:p>
        </w:tc>
      </w:tr>
      <w:tr>
        <w:trPr/>
        <w:tc>
          <w:tcPr>
            <w:tcW w:w="38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 Incorporation)</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500"/>
        <w:gridCol w:w="60"/>
        <w:gridCol w:w="905"/>
      </w:tblGrid>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 East Boulevard, Suite 1600, Charlotte,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28203</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(704) 837-1651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230"/>
        <w:gridCol w:w="74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 - 12)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 Securities registered pursuant to Section 12(b) of the Act:</w:t>
            </w:r>
          </w:p>
        </w:tc>
      </w:tr>
    </w:tbl>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28" w:type="dxa"/>
          <w:left w:w="28" w:type="dxa"/>
          <w:bottom w:w="28" w:type="dxa"/>
          <w:right w:w="0" w:type="dxa"/>
        </w:tblCellMar>
      </w:tblPr>
      <w:tblGrid>
        <w:gridCol w:w="2630"/>
        <w:gridCol w:w="1610"/>
        <w:gridCol w:w="2795"/>
      </w:tblGrid>
      <w:tr>
        <w:trPr/>
        <w:tc>
          <w:tcPr>
            <w:tcW w:w="2630" w:type="dxa"/>
            <w:tcBorders>
              <w:top w:val="single" w:sz="2" w:space="0" w:color="000000"/>
              <w:left w:val="single" w:sz="2" w:space="0" w:color="000000"/>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left w:val="single" w:sz="2" w:space="0" w:color="000000"/>
              <w:bottom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279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2630" w:type="dxa"/>
            <w:tcBorders>
              <w:left w:val="single" w:sz="2" w:space="0" w:color="000000"/>
              <w:bottom w:val="single" w:sz="2" w:space="0" w:color="000000"/>
            </w:tcBorders>
            <w:tcMar>
              <w:top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left w:val="single" w:sz="2" w:space="0" w:color="000000"/>
              <w:bottom w:val="single" w:sz="2" w:space="0" w:color="000000"/>
            </w:tcBorders>
            <w:tcMar>
              <w:top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SGRP</w:t>
            </w:r>
          </w:p>
        </w:tc>
        <w:tc>
          <w:tcPr>
            <w:tcW w:w="279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Introductory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both"/>
        <w:rPr>
          <w:rFonts w:ascii="Times New Roman" w:hAnsi="Times New Roman"/>
          <w:caps w:val="false"/>
          <w:smallCaps w:val="false"/>
          <w:sz w:val="20"/>
        </w:rPr>
      </w:pPr>
      <w:r>
        <w:rPr>
          <w:rFonts w:ascii="Times New Roman" w:hAnsi="Times New Roman"/>
          <w:caps w:val="false"/>
          <w:smallCaps w:val="false"/>
          <w:sz w:val="20"/>
        </w:rPr>
        <w:t>SPAR Group, Inc. ("</w:t>
      </w:r>
      <w:r>
        <w:rPr>
          <w:rFonts w:ascii="Times New Roman" w:hAnsi="Times New Roman"/>
          <w:caps w:val="false"/>
          <w:smallCaps w:val="false"/>
          <w:sz w:val="20"/>
          <w:u w:val="single"/>
        </w:rPr>
        <w:t>SGRP</w:t>
      </w:r>
      <w:r>
        <w:rPr>
          <w:rFonts w:ascii="Times New Roman" w:hAnsi="Times New Roman"/>
          <w:caps w:val="false"/>
          <w:smallCaps w:val="false"/>
          <w:sz w:val="20"/>
        </w:rPr>
        <w:t>" or the "</w:t>
      </w:r>
      <w:r>
        <w:rPr>
          <w:rFonts w:ascii="Times New Roman" w:hAnsi="Times New Roman"/>
          <w:caps w:val="false"/>
          <w:smallCaps w:val="false"/>
          <w:sz w:val="20"/>
          <w:u w:val="single"/>
        </w:rPr>
        <w:t>Corporation</w:t>
      </w:r>
      <w:r>
        <w:rPr>
          <w:rFonts w:ascii="Times New Roman" w:hAnsi="Times New Roman"/>
          <w:caps w:val="false"/>
          <w:smallCaps w:val="false"/>
          <w:sz w:val="20"/>
        </w:rPr>
        <w:t>", and together with its subsidiaries,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SPAR</w:t>
      </w:r>
      <w:r>
        <w:rPr>
          <w:rFonts w:ascii="Times New Roman" w:hAnsi="Times New Roman"/>
          <w:caps w:val="false"/>
          <w:smallCaps w:val="false"/>
          <w:sz w:val="20"/>
        </w:rPr>
        <w:t>" or "</w:t>
      </w:r>
      <w:r>
        <w:rPr>
          <w:rFonts w:ascii="Times New Roman" w:hAnsi="Times New Roman"/>
          <w:caps w:val="false"/>
          <w:smallCaps w:val="false"/>
          <w:sz w:val="20"/>
          <w:u w:val="single"/>
        </w:rPr>
        <w:t>SPAR Group</w:t>
      </w:r>
      <w:r>
        <w:rPr>
          <w:rFonts w:ascii="Times New Roman" w:hAnsi="Times New Roman"/>
          <w:caps w:val="false"/>
          <w:smallCaps w:val="false"/>
          <w:sz w:val="20"/>
        </w:rPr>
        <w:t>") has listed its shares of common stock, par value $0.01 ("</w:t>
      </w:r>
      <w:r>
        <w:rPr>
          <w:rFonts w:ascii="Times New Roman" w:hAnsi="Times New Roman"/>
          <w:caps w:val="false"/>
          <w:smallCaps w:val="false"/>
          <w:sz w:val="20"/>
          <w:u w:val="single"/>
        </w:rPr>
        <w:t>Common Stock</w:t>
      </w:r>
      <w:r>
        <w:rPr>
          <w:rFonts w:ascii="Times New Roman" w:hAnsi="Times New Roman"/>
          <w:caps w:val="false"/>
          <w:smallCaps w:val="false"/>
          <w:sz w:val="20"/>
        </w:rPr>
        <w:t>") for trading through the Nasdaq Stock Market LLC ("</w:t>
      </w:r>
      <w:r>
        <w:rPr>
          <w:rFonts w:ascii="Times New Roman" w:hAnsi="Times New Roman"/>
          <w:caps w:val="false"/>
          <w:smallCaps w:val="false"/>
          <w:sz w:val="20"/>
          <w:u w:val="single"/>
        </w:rPr>
        <w:t>Nasdaq</w:t>
      </w:r>
      <w:r>
        <w:rPr>
          <w:rFonts w:ascii="Times New Roman" w:hAnsi="Times New Roman"/>
          <w:caps w:val="false"/>
          <w:smallCaps w:val="false"/>
          <w:sz w:val="20"/>
        </w:rPr>
        <w:t>") under the trading symbol "SGRP" and periodically files reports with the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Reference is made to: (a) SGRP's 2025 Annual Report on Form 10-K for the year ended December 31, 2025, as filed with the SEC on March 31, 2026 (the "</w:t>
      </w:r>
      <w:r>
        <w:rPr>
          <w:rFonts w:ascii="Times New Roman" w:hAnsi="Times New Roman"/>
          <w:caps w:val="false"/>
          <w:smallCaps w:val="false"/>
          <w:sz w:val="20"/>
          <w:u w:val="single"/>
        </w:rPr>
        <w:t>2025 Annual Report</w:t>
      </w:r>
      <w:r>
        <w:rPr>
          <w:rFonts w:ascii="Times New Roman" w:hAnsi="Times New Roman"/>
          <w:caps w:val="false"/>
          <w:smallCaps w:val="false"/>
          <w:sz w:val="20"/>
        </w:rPr>
        <w:t>"), and (b) SGRP's 2026 Proxy Statement, Quarterly Reports on Form 10-Q, Current Reports on Form 8-K and other reports and statements as and when filed with the SEC (together with the 2025 Annual Report,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8.01 </w:t>
      </w:r>
      <w:r>
        <w:rPr>
          <w:rFonts w:ascii="Times New Roman" w:hAnsi="Times New Roman"/>
          <w:caps w:val="false"/>
          <w:smallCaps w:val="false"/>
          <w:sz w:val="20"/>
        </w:rPr>
        <w:t xml:space="preserve">– </w:t>
      </w:r>
      <w:r>
        <w:rPr>
          <w:rFonts w:ascii="Times New Roman" w:hAnsi="Times New Roman"/>
          <w:b/>
          <w:caps w:val="false"/>
          <w:smallCaps w:val="false"/>
          <w:sz w:val="20"/>
        </w:rPr>
        <w:t>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Times New Roman" w:hAnsi="Times New Roman"/>
          <w:caps w:val="false"/>
          <w:smallCaps w:val="false"/>
          <w:sz w:val="20"/>
        </w:rPr>
      </w:pPr>
      <w:r>
        <w:rPr>
          <w:rFonts w:ascii="Times New Roman" w:hAnsi="Times New Roman"/>
          <w:caps w:val="false"/>
          <w:smallCaps w:val="false"/>
          <w:sz w:val="20"/>
        </w:rPr>
        <w:t>On July 6, 2026, the Corporation convened its special meeting of stockholders (the "</w:t>
      </w:r>
      <w:r>
        <w:rPr>
          <w:rFonts w:ascii="Times New Roman" w:hAnsi="Times New Roman"/>
          <w:caps w:val="false"/>
          <w:smallCaps w:val="false"/>
          <w:sz w:val="20"/>
          <w:u w:val="single"/>
        </w:rPr>
        <w:t>Special Meeting</w:t>
      </w:r>
      <w:r>
        <w:rPr>
          <w:rFonts w:ascii="Times New Roman" w:hAnsi="Times New Roman"/>
          <w:caps w:val="false"/>
          <w:smallCaps w:val="false"/>
          <w:sz w:val="20"/>
        </w:rPr>
        <w:t>"). As of the record date for the Special Meeting, June 16, 2026, there were 28,398,560 shares of Common Stock outstanding and entitled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Times New Roman" w:hAnsi="Times New Roman"/>
          <w:caps w:val="false"/>
          <w:smallCaps w:val="false"/>
          <w:sz w:val="20"/>
        </w:rPr>
      </w:pPr>
      <w:r>
        <w:rPr>
          <w:rFonts w:ascii="Times New Roman" w:hAnsi="Times New Roman"/>
          <w:caps w:val="false"/>
          <w:smallCaps w:val="false"/>
          <w:sz w:val="20"/>
        </w:rPr>
        <w:t>Stockholders holding less than the voting power required for a quorum were present in person (by virtual attendance) or represented by proxy at the Special Meeting. Because a quorum was not present, no business was conducted at the Special Meeting. Pursuant to the Company’s Amended and Restated Bylaws, the chairperson of the Special Meeting adjourned the Special Meeting due to the lack of quorum. The Special Meeting will reconvene virtually on July 10, 2026, at 12:00 p.m. Eastern Time. The Special Meeting will be held for the purpose of voting on the proposals described in the Company’s previously distributed proxy materials for the Special Meeting, including the definitive proxy statement filed with the Securities and Exchange Commission on June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Times New Roman" w:hAnsi="Times New Roman"/>
          <w:caps w:val="false"/>
          <w:smallCaps w:val="false"/>
          <w:sz w:val="20"/>
        </w:rPr>
      </w:pPr>
      <w:r>
        <w:rPr>
          <w:rFonts w:ascii="Times New Roman" w:hAnsi="Times New Roman"/>
          <w:caps w:val="false"/>
          <w:smallCaps w:val="false"/>
          <w:sz w:val="20"/>
        </w:rPr>
        <w:t>The record date for determining stockholders entitled to vote at the reconvened Special Meeting remains the close of business on June 16, 2026. Stockholders who have already voted do not need to recast their votes. Valid proxies previously submitted in respect of the Special Meeting will be voted at the reconvened Special Meeting in the same manner as they would have been voted at the originally scheduled Special Meeting, unless properly revoked prior to the reconvened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left"/>
        <w:rPr>
          <w:rFonts w:ascii="Times New Roman" w:hAnsi="Times New Roman"/>
          <w:caps w:val="false"/>
          <w:smallCaps w:val="false"/>
          <w:sz w:val="20"/>
        </w:rPr>
      </w:pPr>
      <w:r>
        <w:rPr>
          <w:rFonts w:ascii="Times New Roman" w:hAnsi="Times New Roman"/>
          <w:b/>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(this "</w:t>
      </w:r>
      <w:r>
        <w:rPr>
          <w:rFonts w:ascii="Times New Roman" w:hAnsi="Times New Roman"/>
          <w:caps w:val="false"/>
          <w:smallCaps w:val="false"/>
          <w:sz w:val="20"/>
          <w:u w:val="single"/>
        </w:rPr>
        <w:t>Current Report</w:t>
      </w:r>
      <w:r>
        <w:rPr>
          <w:rFonts w:ascii="Times New Roman" w:hAnsi="Times New Roman"/>
          <w:caps w:val="false"/>
          <w:smallCaps w:val="false"/>
          <w:sz w:val="20"/>
        </w:rPr>
        <w:t>") contains forward-looking statements within the "safe harbor" provisions of the Private Securities Litigation Reform Act of 1995, made by, or respecting, SPAR Group, Inc. (the "</w:t>
      </w:r>
      <w:r>
        <w:rPr>
          <w:rFonts w:ascii="Times New Roman" w:hAnsi="Times New Roman"/>
          <w:caps w:val="false"/>
          <w:smallCaps w:val="false"/>
          <w:sz w:val="20"/>
          <w:u w:val="single"/>
        </w:rPr>
        <w:t>Corporation</w:t>
      </w:r>
      <w:r>
        <w:rPr>
          <w:rFonts w:ascii="Times New Roman" w:hAnsi="Times New Roman"/>
          <w:caps w:val="false"/>
          <w:smallCaps w:val="false"/>
          <w:sz w:val="20"/>
        </w:rPr>
        <w:t>"' or "</w:t>
      </w:r>
      <w:r>
        <w:rPr>
          <w:rFonts w:ascii="Times New Roman" w:hAnsi="Times New Roman"/>
          <w:caps w:val="false"/>
          <w:smallCaps w:val="false"/>
          <w:sz w:val="20"/>
          <w:u w:val="single"/>
        </w:rPr>
        <w:t>SGRP</w:t>
      </w:r>
      <w:r>
        <w:rPr>
          <w:rFonts w:ascii="Times New Roman" w:hAnsi="Times New Roman"/>
          <w:caps w:val="false"/>
          <w:smallCaps w:val="false"/>
          <w:sz w:val="20"/>
        </w:rPr>
        <w:t>") and its subsidiaries (together with SGRP, "</w:t>
      </w:r>
      <w:r>
        <w:rPr>
          <w:rFonts w:ascii="Times New Roman" w:hAnsi="Times New Roman"/>
          <w:caps w:val="false"/>
          <w:smallCaps w:val="false"/>
          <w:sz w:val="20"/>
          <w:u w:val="single"/>
        </w:rPr>
        <w:t>SPAR</w:t>
      </w:r>
      <w:r>
        <w:rPr>
          <w:rFonts w:ascii="Times New Roman" w:hAnsi="Times New Roman"/>
          <w:caps w:val="false"/>
          <w:smallCaps w:val="false"/>
          <w:sz w:val="20"/>
        </w:rPr>
        <w:t>", "</w:t>
      </w:r>
      <w:r>
        <w:rPr>
          <w:rFonts w:ascii="Times New Roman" w:hAnsi="Times New Roman"/>
          <w:caps w:val="false"/>
          <w:smallCaps w:val="false"/>
          <w:sz w:val="20"/>
          <w:u w:val="single"/>
        </w:rPr>
        <w:t>SPAR Group</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"Forward-looking statements" are defined in Section 27A of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and Section 21E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and other applicable federal and state securities laws, rules and regulations, as amended (together with the Securities Act and Exchange Act, the "</w:t>
      </w:r>
      <w:r>
        <w:rPr>
          <w:rFonts w:ascii="Times New Roman" w:hAnsi="Times New Roman"/>
          <w:caps w:val="false"/>
          <w:smallCaps w:val="false"/>
          <w:sz w:val="20"/>
          <w:u w:val="single"/>
        </w:rPr>
        <w:t>Securities Laws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both"/>
        <w:rPr>
          <w:rFonts w:ascii="Times New Roman" w:hAnsi="Times New Roman"/>
          <w:caps w:val="false"/>
          <w:smallCaps w:val="false"/>
          <w:sz w:val="20"/>
        </w:rPr>
      </w:pPr>
      <w:r>
        <w:rPr>
          <w:rFonts w:ascii="Times New Roman" w:hAnsi="Times New Roman"/>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hAnsi="Times New Roman"/>
          <w:caps w:val="false"/>
          <w:smallCaps w:val="false"/>
          <w:sz w:val="20"/>
          <w:u w:val="single"/>
        </w:rPr>
        <w:t>Risks</w:t>
      </w:r>
      <w:r>
        <w:rPr>
          <w:rFonts w:ascii="Times New Roman" w:hAnsi="Times New Roman"/>
          <w:caps w:val="false"/>
          <w:smallCaps w:val="false"/>
          <w:sz w:val="20"/>
        </w:rPr>
        <w:t>"). Those Risks include (without limitation): the costs and effects of changing the Company's principal independent registered accounting firm;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w:t>
      </w:r>
      <w:r>
        <w:rPr>
          <w:rFonts w:ascii="Times New Roman" w:hAnsi="Times New Roman"/>
          <w:i/>
          <w:caps w:val="false"/>
          <w:smallCaps w:val="false"/>
          <w:sz w:val="20"/>
        </w:rPr>
        <w:t>Business</w:t>
      </w:r>
      <w:r>
        <w:rPr>
          <w:rFonts w:ascii="Times New Roman" w:hAnsi="Times New Roman"/>
          <w:caps w:val="false"/>
          <w:smallCaps w:val="false"/>
          <w:sz w:val="20"/>
        </w:rPr>
        <w:t>", "</w:t>
      </w:r>
      <w:r>
        <w:rPr>
          <w:rFonts w:ascii="Times New Roman" w:hAnsi="Times New Roman"/>
          <w:i/>
          <w:caps w:val="false"/>
          <w:smallCaps w:val="false"/>
          <w:sz w:val="20"/>
        </w:rPr>
        <w:t>Risk Factors</w:t>
      </w:r>
      <w:r>
        <w:rPr>
          <w:rFonts w:ascii="Times New Roman" w:hAnsi="Times New Roman"/>
          <w:caps w:val="false"/>
          <w:smallCaps w:val="false"/>
          <w:sz w:val="20"/>
        </w:rPr>
        <w:t>", "</w:t>
      </w:r>
      <w:r>
        <w:rPr>
          <w:rFonts w:ascii="Times New Roman" w:hAnsi="Times New Roman"/>
          <w:i/>
          <w:caps w:val="false"/>
          <w:smallCaps w:val="false"/>
          <w:sz w:val="20"/>
        </w:rPr>
        <w:t>Cybersecurity</w:t>
      </w:r>
      <w:r>
        <w:rPr>
          <w:rFonts w:ascii="Times New Roman" w:hAnsi="Times New Roman"/>
          <w:caps w:val="false"/>
          <w:smallCaps w:val="false"/>
          <w:sz w:val="20"/>
        </w:rPr>
        <w:t>", "</w:t>
      </w:r>
      <w:r>
        <w:rPr>
          <w:rFonts w:ascii="Times New Roman" w:hAnsi="Times New Roman"/>
          <w:i/>
          <w:caps w:val="false"/>
          <w:smallCaps w:val="false"/>
          <w:sz w:val="20"/>
        </w:rPr>
        <w:t>Legal Proceedings</w:t>
      </w:r>
      <w:r>
        <w:rPr>
          <w:rFonts w:ascii="Times New Roman" w:hAnsi="Times New Roman"/>
          <w:caps w:val="false"/>
          <w:smallCaps w:val="false"/>
          <w:sz w:val="20"/>
        </w:rPr>
        <w:t>", "</w:t>
      </w:r>
      <w:r>
        <w:rPr>
          <w:rFonts w:ascii="Times New Roman" w:hAnsi="Times New Roman"/>
          <w:i/>
          <w:caps w:val="false"/>
          <w:smallCaps w:val="false"/>
          <w:sz w:val="20"/>
        </w:rPr>
        <w:t>Market for Registrant's Common Equity, Related Stockholder Matters and Issuer Purchases of Equity Securities</w:t>
      </w:r>
      <w:r>
        <w:rPr>
          <w:rFonts w:ascii="Times New Roman" w:hAnsi="Times New Roman"/>
          <w:caps w:val="false"/>
          <w:smallCaps w:val="false"/>
          <w:sz w:val="20"/>
        </w:rPr>
        <w:t>", "</w:t>
      </w:r>
      <w:r>
        <w:rPr>
          <w:rFonts w:ascii="Times New Roman" w:hAnsi="Times New Roman"/>
          <w:i/>
          <w:caps w:val="false"/>
          <w:smallCaps w:val="false"/>
          <w:sz w:val="20"/>
        </w:rPr>
        <w:t>Management's Discussion and Analysis of Financial Condition and Results of Operations</w:t>
      </w:r>
      <w:r>
        <w:rPr>
          <w:rFonts w:ascii="Times New Roman" w:hAnsi="Times New Roman"/>
          <w:caps w:val="false"/>
          <w:smallCaps w:val="false"/>
          <w:sz w:val="20"/>
        </w:rPr>
        <w:t>", "</w:t>
      </w:r>
      <w:r>
        <w:rPr>
          <w:rFonts w:ascii="Times New Roman" w:hAnsi="Times New Roman"/>
          <w:i/>
          <w:caps w:val="false"/>
          <w:smallCaps w:val="false"/>
          <w:sz w:val="20"/>
        </w:rPr>
        <w:t>Controls and Procedures</w:t>
      </w:r>
      <w:r>
        <w:rPr>
          <w:rFonts w:ascii="Times New Roman" w:hAnsi="Times New Roman"/>
          <w:caps w:val="false"/>
          <w:smallCaps w:val="false"/>
          <w:sz w:val="20"/>
        </w:rPr>
        <w:t>", and "</w:t>
      </w:r>
      <w:r>
        <w:rPr>
          <w:rFonts w:ascii="Times New Roman" w:hAnsi="Times New Roman"/>
          <w:i/>
          <w:caps w:val="false"/>
          <w:smallCaps w:val="false"/>
          <w:sz w:val="20"/>
        </w:rPr>
        <w:t>Certain Relationships and Related Transactions, and Director Independence</w:t>
      </w:r>
      <w:r>
        <w:rPr>
          <w:rFonts w:ascii="Times New Roman" w:hAnsi="Times New Roman"/>
          <w:caps w:val="false"/>
          <w:smallCaps w:val="false"/>
          <w:sz w:val="20"/>
        </w:rPr>
        <w:t>" in the Corporation's 2025 Annual Report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this Current Report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6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hAnsi="Times New Roman"/>
          <w:caps w:val="false"/>
          <w:smallCaps w:val="false"/>
          <w:sz w:val="20"/>
          <w:u w:val="single"/>
        </w:rPr>
        <w:t>Expectations</w:t>
      </w:r>
      <w:r>
        <w:rPr>
          <w:rFonts w:ascii="Times New Roman" w:hAnsi="Times New Roman"/>
          <w:caps w:val="false"/>
          <w:smallCaps w:val="false"/>
          <w:sz w:val="20"/>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320"/>
        <w:gridCol w:w="3020"/>
        <w:gridCol w:w="60"/>
      </w:tblGrid>
      <w:tr>
        <w:trPr/>
        <w:tc>
          <w:tcPr>
            <w:tcW w:w="60" w:type="dxa"/>
            <w:tcBorders/>
            <w:vAlign w:val="center"/>
          </w:tcPr>
          <w:p>
            <w:pPr>
              <w:pStyle w:val="TableContents"/>
              <w:bidi w:val="0"/>
              <w:spacing w:before="0" w:after="0"/>
              <w:ind w:left="0" w:right="0" w:hanging="0"/>
              <w:jc w:val="left"/>
              <w:rPr/>
            </w:pPr>
            <w:r>
              <w:rPr/>
              <w:t> </w:t>
            </w:r>
          </w:p>
        </w:tc>
        <w:tc>
          <w:tcPr>
            <w:tcW w:w="334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SPAR Group,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34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6, 2026</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i/>
                <w:caps w:val="false"/>
                <w:smallCaps w:val="false"/>
                <w:sz w:val="20"/>
              </w:rPr>
              <w:t>William Linnane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Linnane, President and CEO</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1598</Words>
  <Characters>9248</Characters>
  <CharactersWithSpaces>10853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