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000-27408</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3992" w:type="dxa"/>
                    <w:jc w:val="center"/>
                    <w:tblInd w:w="0" w:type="dxa"/>
                    <w:tblLayout w:type="fixed"/>
                    <w:tblCellMar>
                      <w:top w:w="28" w:type="dxa"/>
                      <w:left w:w="28" w:type="dxa"/>
                      <w:bottom w:w="28" w:type="dxa"/>
                      <w:right w:w="28" w:type="dxa"/>
                    </w:tblCellMar>
                  </w:tblPr>
                  <w:tblGrid>
                    <w:gridCol w:w="1261"/>
                    <w:gridCol w:w="273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2731" w:type="dxa"/>
                        <w:tcBorders/>
                        <w:vAlign w:val="center"/>
                      </w:tcPr>
                      <w:p>
                        <w:pPr>
                          <w:pStyle w:val="TableContents"/>
                          <w:bidi w:val="0"/>
                          <w:spacing w:before="0" w:after="283"/>
                          <w:jc w:val="left"/>
                          <w:rPr/>
                        </w:pPr>
                        <w:hyperlink r:id="rId3">
                          <w:r>
                            <w:rPr>
                              <w:rStyle w:val="InternetLink"/>
                            </w:rPr>
                            <w:t>SPAR Group,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27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554" w:type="dxa"/>
                    <w:jc w:val="center"/>
                    <w:tblInd w:w="0" w:type="dxa"/>
                    <w:tblLayout w:type="fixed"/>
                    <w:tblCellMar>
                      <w:top w:w="28" w:type="dxa"/>
                      <w:left w:w="28" w:type="dxa"/>
                      <w:bottom w:w="28" w:type="dxa"/>
                      <w:right w:w="28" w:type="dxa"/>
                    </w:tblCellMar>
                  </w:tblPr>
                  <w:tblGrid>
                    <w:gridCol w:w="2206"/>
                    <w:gridCol w:w="1306"/>
                    <w:gridCol w:w="1426"/>
                    <w:gridCol w:w="706"/>
                    <w:gridCol w:w="109"/>
                    <w:gridCol w:w="1801"/>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54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Westchester Avenue</w:t>
                        </w:r>
                      </w:p>
                    </w:tc>
                    <w:tc>
                      <w:tcPr>
                        <w:tcW w:w="180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354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Building, Suite 204</w:t>
                        </w:r>
                      </w:p>
                    </w:tc>
                    <w:tc>
                      <w:tcPr>
                        <w:tcW w:w="180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White Plains</w:t>
                        </w:r>
                      </w:p>
                    </w:tc>
                    <w:tc>
                      <w:tcPr>
                        <w:tcW w:w="14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10604</w:t>
                        </w:r>
                      </w:p>
                    </w:tc>
                    <w:tc>
                      <w:tcPr>
                        <w:tcW w:w="109" w:type="dxa"/>
                        <w:tcBorders/>
                      </w:tcPr>
                      <w:p>
                        <w:pPr>
                          <w:pStyle w:val="TableContents"/>
                          <w:bidi w:val="0"/>
                          <w:spacing w:before="0" w:after="283"/>
                          <w:jc w:val="left"/>
                          <w:rPr>
                            <w:sz w:val="4"/>
                            <w:szCs w:val="4"/>
                          </w:rPr>
                        </w:pPr>
                        <w:r>
                          <w:rPr>
                            <w:sz w:val="4"/>
                            <w:szCs w:val="4"/>
                          </w:rPr>
                        </w:r>
                      </w:p>
                    </w:tc>
                    <w:tc>
                      <w:tcPr>
                        <w:tcW w:w="1801"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547" w:type="dxa"/>
                        <w:gridSpan w:val="4"/>
                        <w:tcBorders/>
                        <w:vAlign w:val="center"/>
                      </w:tcPr>
                      <w:p>
                        <w:pPr>
                          <w:pStyle w:val="TableContents"/>
                          <w:bidi w:val="0"/>
                          <w:spacing w:before="0" w:after="283"/>
                          <w:jc w:val="left"/>
                          <w:rPr>
                            <w:sz w:val="4"/>
                            <w:szCs w:val="4"/>
                          </w:rPr>
                        </w:pPr>
                        <w:r>
                          <w:rPr>
                            <w:sz w:val="4"/>
                            <w:szCs w:val="4"/>
                          </w:rPr>
                        </w:r>
                      </w:p>
                    </w:tc>
                    <w:tc>
                      <w:tcPr>
                        <w:tcW w:w="180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+1 914 332-4100</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2026-10-01</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Aravind Menon</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Hearings Advisor</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sgrpdelistreason.txt"/>
      <w:bookmarkStart w:id="6" w:name="kssgrpdelistreason"/>
      <w:bookmarkEnd w:id="5"/>
      <w:bookmarkEnd w:id="6"/>
      <w:r>
        <w:rPr/>
        <w:t>Delisting Determination, The Nasdaq Stock Market, LLC, September 17, 2026</w:t>
      </w:r>
      <w:r>
        <w:br w:type="page"/>
      </w:r>
    </w:p>
    <w:p>
      <w:pPr>
        <w:pStyle w:val="PreformattedText"/>
        <w:bidi w:val="0"/>
        <w:spacing w:before="0" w:after="0"/>
        <w:jc w:val="left"/>
        <w:rPr/>
      </w:pPr>
      <w:r>
        <w:rPr/>
        <w:t>SPAR Group, Inc.</w:t>
      </w:r>
    </w:p>
    <w:p>
      <w:pPr>
        <w:pStyle w:val="PreformattedText"/>
        <w:bidi w:val="0"/>
        <w:spacing w:before="0" w:after="0"/>
        <w:jc w:val="left"/>
        <w:rPr/>
      </w:pPr>
      <w:r>
        <w:rPr/>
        <w:t>The Nasdaq Stock Market LLC (the Exchange) has determined to remove</w:t>
      </w:r>
    </w:p>
    <w:p>
      <w:pPr>
        <w:pStyle w:val="PreformattedText"/>
        <w:bidi w:val="0"/>
        <w:spacing w:before="0" w:after="0"/>
        <w:jc w:val="left"/>
        <w:rPr/>
      </w:pPr>
      <w:r>
        <w:rPr/>
        <w:t>from listing the Common Stock of SPAR Group, Inc. effective at the</w:t>
      </w:r>
    </w:p>
    <w:p>
      <w:pPr>
        <w:pStyle w:val="PreformattedText"/>
        <w:bidi w:val="0"/>
        <w:spacing w:before="0" w:after="0"/>
        <w:jc w:val="left"/>
        <w:rPr/>
      </w:pPr>
      <w:r>
        <w:rPr/>
        <w:t>opening of the trading session on October 12, 2026. Based on review</w:t>
      </w:r>
    </w:p>
    <w:p>
      <w:pPr>
        <w:pStyle w:val="PreformattedText"/>
        <w:bidi w:val="0"/>
        <w:spacing w:before="0" w:after="0"/>
        <w:jc w:val="left"/>
        <w:rPr/>
      </w:pPr>
      <w:r>
        <w:rPr/>
        <w:t>of information provided by the Company, Nasdaq Staff</w:t>
      </w:r>
    </w:p>
    <w:p>
      <w:pPr>
        <w:pStyle w:val="PreformattedText"/>
        <w:bidi w:val="0"/>
        <w:spacing w:before="0" w:after="0"/>
        <w:jc w:val="left"/>
        <w:rPr/>
      </w:pPr>
      <w:r>
        <w:rPr/>
        <w:t>determined that the Company no longer qualified for listing on the</w:t>
      </w:r>
    </w:p>
    <w:p>
      <w:pPr>
        <w:pStyle w:val="PreformattedText"/>
        <w:bidi w:val="0"/>
        <w:spacing w:before="0" w:after="0"/>
        <w:jc w:val="left"/>
        <w:rPr/>
      </w:pPr>
      <w:r>
        <w:rPr/>
        <w:t>Exchange pursuant to Listing Rules 5550(a)(2) and 5550(b).</w:t>
      </w:r>
    </w:p>
    <w:p>
      <w:pPr>
        <w:pStyle w:val="PreformattedText"/>
        <w:bidi w:val="0"/>
        <w:spacing w:before="0" w:after="0"/>
        <w:jc w:val="left"/>
        <w:rPr/>
      </w:pPr>
      <w:r>
        <w:rPr/>
        <w:t>The Company was notified of the Staff determination on July 14, 2026.</w:t>
      </w:r>
    </w:p>
    <w:p>
      <w:pPr>
        <w:pStyle w:val="PreformattedText"/>
        <w:bidi w:val="0"/>
        <w:spacing w:before="0" w:after="0"/>
        <w:jc w:val="left"/>
        <w:rPr/>
      </w:pPr>
      <w:r>
        <w:rPr/>
        <w:t>The Company did not appeal the Staff Delist Determination Letter.</w:t>
      </w:r>
    </w:p>
    <w:p>
      <w:pPr>
        <w:pStyle w:val="PreformattedText"/>
        <w:bidi w:val="0"/>
        <w:spacing w:before="0" w:after="0"/>
        <w:jc w:val="left"/>
        <w:rPr/>
      </w:pPr>
      <w:r>
        <w:rPr/>
        <w:t>The Company Common Stock was suspended on July 23, 2026. The</w:t>
      </w:r>
    </w:p>
    <w:p>
      <w:pPr>
        <w:pStyle w:val="PreformattedText"/>
        <w:bidi w:val="0"/>
        <w:spacing w:before="0" w:after="0"/>
        <w:jc w:val="left"/>
        <w:rPr/>
      </w:pPr>
      <w:r>
        <w:rPr/>
        <w:t>Staff determination to delist the Company Common Stock</w:t>
      </w:r>
    </w:p>
    <w:p>
      <w:pPr>
        <w:pStyle w:val="PreformattedText"/>
        <w:bidi w:val="0"/>
        <w:spacing w:before="0" w:after="283"/>
        <w:jc w:val="left"/>
        <w:rPr/>
      </w:pPr>
      <w:r>
        <w:rPr/>
        <w:t>became final on July 23,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7408" TargetMode="External"/><Relationship Id="rId3" Type="http://schemas.openxmlformats.org/officeDocument/2006/relationships/hyperlink" Target="http://www.sec.gov/cgi-bin/browse-edgar?action=getcompany&amp;CIK=0001004989"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448</Words>
  <Characters>2421</Characters>
  <CharactersWithSpaces>2818</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