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HOUSTON LINDA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SPAR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110 EAST BOULEVARD, SUITE 1600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SPAR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SGRP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600"/>
        <w:gridCol w:w="349"/>
        <w:gridCol w:w="1017"/>
        <w:gridCol w:w="456"/>
        <w:gridCol w:w="619"/>
        <w:gridCol w:w="1167"/>
        <w:gridCol w:w="1000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110,000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110,000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("RSUs") granted to the Reporting Person. Each RSU represents a contingent right to receive one share of the company's common stock upon vesting. The RSUs will vest on September 29, 2027, subject to continued service.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Linda M. Houston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26848" TargetMode="External"/><Relationship Id="rId5" Type="http://schemas.openxmlformats.org/officeDocument/2006/relationships/hyperlink" Target="http://www.sec.gov/cgi-bin/browse-edgar?action=getcompany&amp;CIK=00010049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605</Words>
  <Characters>3270</Characters>
  <CharactersWithSpaces>3808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