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SPAR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William H. Bartels</w:t>
              <w:br/>
              <w:t>c/o SPAR Group, Inc., 110 East Boulevard, Suite 1600</w:t>
              <w:br/>
              <w:t>Charlotte, NC, 28203</w:t>
              <w:br/>
              <w:t>(704) 837-1651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BARTELS WILLIAM H</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43"/>
        <w:gridCol w:w="8871"/>
        <w:gridCol w:w="191"/>
      </w:tblGrid>
      <w:tr>
        <w:trPr/>
        <w:tc>
          <w:tcPr>
            <w:tcW w:w="1143" w:type="dxa"/>
            <w:tcBorders/>
            <w:vAlign w:val="center"/>
          </w:tcPr>
          <w:p>
            <w:pPr>
              <w:pStyle w:val="TableContents"/>
              <w:bidi w:val="0"/>
              <w:spacing w:before="0" w:after="283"/>
              <w:jc w:val="left"/>
              <w:rPr/>
            </w:pPr>
            <w:r>
              <w:rPr/>
              <w:t>Item 1.</w:t>
            </w:r>
          </w:p>
        </w:tc>
        <w:tc>
          <w:tcPr>
            <w:tcW w:w="8871" w:type="dxa"/>
            <w:tcBorders/>
            <w:vAlign w:val="center"/>
          </w:tcPr>
          <w:p>
            <w:pPr>
              <w:pStyle w:val="TableContents"/>
              <w:bidi w:val="0"/>
              <w:spacing w:before="0" w:after="283"/>
              <w:jc w:val="left"/>
              <w:rPr/>
            </w:pPr>
            <w:r>
              <w:rPr/>
              <w:t>Security and Issuer</w:t>
            </w:r>
          </w:p>
        </w:tc>
        <w:tc>
          <w:tcPr>
            <w:tcW w:w="191"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8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91"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871" w:type="dxa"/>
            <w:tcBorders/>
            <w:vAlign w:val="center"/>
          </w:tcPr>
          <w:p>
            <w:pPr>
              <w:pStyle w:val="TableContents"/>
              <w:bidi w:val="0"/>
              <w:jc w:val="left"/>
              <w:rPr/>
            </w:pPr>
            <w:r>
              <w:rPr/>
              <w:t xml:space="preserve">Name of Issuer: </w:t>
            </w:r>
          </w:p>
          <w:p>
            <w:pPr>
              <w:pStyle w:val="TableContents"/>
              <w:bidi w:val="0"/>
              <w:spacing w:before="0" w:after="0"/>
              <w:jc w:val="left"/>
              <w:rPr/>
            </w:pPr>
            <w:r>
              <w:rPr/>
              <w:t>SPAR Group, Inc.</w:t>
            </w:r>
          </w:p>
        </w:tc>
        <w:tc>
          <w:tcPr>
            <w:tcW w:w="191"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8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 EAST BOULEVARD, SUITE 1600, CHARLOTTE, NORTH CAROLINA , 28203.</w:t>
            </w:r>
          </w:p>
        </w:tc>
        <w:tc>
          <w:tcPr>
            <w:tcW w:w="191"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8 to Schedule 13D (this "Amendment") amends and supplements the information set forth in the Schedule 13D originally filed by the Reporting Person with the Securities and Exchange Commission ("SEC") on July 19, 1999 (the "Original Schedule 13D") relating to the common stock, $0.01 par value per share (the "Common Stock"), of SPAR Group, Inc., a Delaware corporation (the "Company" or "SGRP"), as amended by Amendment No. 1 to the Original Schedule 13D filed with the SEC on June 1, 2018 ("Amendment No. 1"), Amendment No. 2 to the Original Schedule 13D filed with the SEC on August 6, 2018 ("Amendment No. 2"), Amendment No. 3 to the Original Schedule 13D filed with the SEC on September 19, 2018 ("Amendment No. 3"), Amendment No. 4 to the Original Schedule 13D filed with the SEC on January 25, 2019 ("Amendment No. 4"), Amendment No. 5 to the Original Schedule 13D filed with the SEC on October 18, 2019 ("Amendment No. 5"), Amendment No. 6 to the Original Schedule 13D filed with the SEC on March 1, 2021 ("Amendment No. 6") and Amendment No. 7 to the Original Schedule 13D filed with the SEC on May 14, 2021 ("Amendment No. 7"). The Original Schedule 13D, as amended by Amendment No. 1, Amendment No. 2, Amendment No. 3, Amendment No. 4, Amendment No. 5 Amendment No. 6 and Amendment No. 7 is hereinafter referred to as the "Schedule 13D."</w:t>
            </w:r>
          </w:p>
        </w:tc>
      </w:tr>
      <w:tr>
        <w:trPr/>
        <w:tc>
          <w:tcPr>
            <w:tcW w:w="1143" w:type="dxa"/>
            <w:tcBorders/>
            <w:vAlign w:val="center"/>
          </w:tcPr>
          <w:p>
            <w:pPr>
              <w:pStyle w:val="TableContents"/>
              <w:bidi w:val="0"/>
              <w:spacing w:before="0" w:after="283"/>
              <w:jc w:val="left"/>
              <w:rPr/>
            </w:pPr>
            <w:r>
              <w:rPr/>
              <w:t>Item 4.</w:t>
            </w:r>
          </w:p>
        </w:tc>
        <w:tc>
          <w:tcPr>
            <w:tcW w:w="8871" w:type="dxa"/>
            <w:tcBorders/>
            <w:vAlign w:val="center"/>
          </w:tcPr>
          <w:p>
            <w:pPr>
              <w:pStyle w:val="TableContents"/>
              <w:bidi w:val="0"/>
              <w:spacing w:before="0" w:after="283"/>
              <w:jc w:val="left"/>
              <w:rPr/>
            </w:pPr>
            <w:r>
              <w:rPr/>
              <w:t>Purpose of Transaction</w:t>
            </w:r>
          </w:p>
        </w:tc>
        <w:tc>
          <w:tcPr>
            <w:tcW w:w="191"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0"/>
              <w:jc w:val="left"/>
              <w:rPr/>
            </w:pPr>
            <w:r>
              <w:rPr/>
              <w:t xml:space="preserve">This Schedule 13D filing is occasioned solely by the Reporting Person's beneficial ownership of less than 5% of the presently outstanding shares of Common Stock of the Issuer as a result of the sale of the shares pursuant to a stock purchase agreement on July 1, 2026. </w:t>
            </w:r>
          </w:p>
        </w:tc>
        <w:tc>
          <w:tcPr>
            <w:tcW w:w="191"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5.</w:t>
            </w:r>
          </w:p>
        </w:tc>
        <w:tc>
          <w:tcPr>
            <w:tcW w:w="8871" w:type="dxa"/>
            <w:tcBorders/>
            <w:vAlign w:val="center"/>
          </w:tcPr>
          <w:p>
            <w:pPr>
              <w:pStyle w:val="TableContents"/>
              <w:bidi w:val="0"/>
              <w:spacing w:before="0" w:after="283"/>
              <w:jc w:val="left"/>
              <w:rPr/>
            </w:pPr>
            <w:r>
              <w:rPr/>
              <w:t>Interest in Securities of the Issuer</w:t>
            </w:r>
          </w:p>
        </w:tc>
        <w:tc>
          <w:tcPr>
            <w:tcW w:w="191"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871" w:type="dxa"/>
            <w:tcBorders/>
            <w:vAlign w:val="center"/>
          </w:tcPr>
          <w:p>
            <w:pPr>
              <w:pStyle w:val="TableContents"/>
              <w:bidi w:val="0"/>
              <w:spacing w:before="0" w:after="0"/>
              <w:jc w:val="left"/>
              <w:rPr/>
            </w:pPr>
            <w:r>
              <w:rPr/>
              <w:t>As of July 16, 2026, the Reporting Person does not hold any shares of Common Stock of the Issuer.</w:t>
            </w:r>
          </w:p>
        </w:tc>
        <w:tc>
          <w:tcPr>
            <w:tcW w:w="191"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871" w:type="dxa"/>
            <w:tcBorders/>
            <w:vAlign w:val="center"/>
          </w:tcPr>
          <w:p>
            <w:pPr>
              <w:pStyle w:val="TableContents"/>
              <w:bidi w:val="0"/>
              <w:spacing w:before="0" w:after="0"/>
              <w:jc w:val="left"/>
              <w:rPr/>
            </w:pPr>
            <w:r>
              <w:rPr/>
              <w:t>As of July 16, 2026, the Reporting Person does not hold any shares of Common Stock of the Issuer.</w:t>
            </w:r>
          </w:p>
        </w:tc>
        <w:tc>
          <w:tcPr>
            <w:tcW w:w="191"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871" w:type="dxa"/>
            <w:tcBorders/>
            <w:vAlign w:val="center"/>
          </w:tcPr>
          <w:p>
            <w:pPr>
              <w:pStyle w:val="TableContents"/>
              <w:bidi w:val="0"/>
              <w:spacing w:before="0" w:after="0"/>
              <w:jc w:val="left"/>
              <w:rPr/>
            </w:pPr>
            <w:r>
              <w:rPr/>
              <w:t>On July 1, 2026, the Reporting Person sold 4,709,837 shares of the Issuer's Common Stock pursuant to a Stock Purchase Agreement.</w:t>
            </w:r>
          </w:p>
        </w:tc>
        <w:tc>
          <w:tcPr>
            <w:tcW w:w="191"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871" w:type="dxa"/>
            <w:tcBorders/>
            <w:vAlign w:val="center"/>
          </w:tcPr>
          <w:p>
            <w:pPr>
              <w:pStyle w:val="TableContents"/>
              <w:bidi w:val="0"/>
              <w:spacing w:before="0" w:after="0"/>
              <w:jc w:val="left"/>
              <w:rPr/>
            </w:pPr>
            <w:r>
              <w:rPr/>
              <w:t>Not applicable.</w:t>
            </w:r>
          </w:p>
        </w:tc>
        <w:tc>
          <w:tcPr>
            <w:tcW w:w="191"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871" w:type="dxa"/>
            <w:tcBorders/>
            <w:vAlign w:val="center"/>
          </w:tcPr>
          <w:p>
            <w:pPr>
              <w:pStyle w:val="TableContents"/>
              <w:bidi w:val="0"/>
              <w:spacing w:before="0" w:after="0"/>
              <w:jc w:val="left"/>
              <w:rPr/>
            </w:pPr>
            <w:r>
              <w:rPr/>
              <w:t>The Reporting Person ceased to be the beneficial owner of more than 5% of the outstanding shares of Common Stock of the Issuer on July 1, 2026.</w:t>
            </w:r>
          </w:p>
        </w:tc>
        <w:tc>
          <w:tcPr>
            <w:tcW w:w="191"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7.</w:t>
            </w:r>
          </w:p>
        </w:tc>
        <w:tc>
          <w:tcPr>
            <w:tcW w:w="8871" w:type="dxa"/>
            <w:tcBorders/>
            <w:vAlign w:val="center"/>
          </w:tcPr>
          <w:p>
            <w:pPr>
              <w:pStyle w:val="TableContents"/>
              <w:bidi w:val="0"/>
              <w:spacing w:before="0" w:after="283"/>
              <w:jc w:val="left"/>
              <w:rPr/>
            </w:pPr>
            <w:r>
              <w:rPr/>
              <w:t>Material to be Filed as Exhibits.</w:t>
            </w:r>
          </w:p>
        </w:tc>
        <w:tc>
          <w:tcPr>
            <w:tcW w:w="191"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0"/>
              <w:jc w:val="left"/>
              <w:rPr/>
            </w:pPr>
            <w:r>
              <w:rPr/>
              <w:t>None.</w:t>
            </w:r>
          </w:p>
        </w:tc>
        <w:tc>
          <w:tcPr>
            <w:tcW w:w="19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BARTELS WILLIAM H</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William H. Bartels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William H. Bartels</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803</Words>
  <Characters>3915</Characters>
  <CharactersWithSpaces>4670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