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SPAR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05/31/2011</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Brown Rory William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2,134,548.00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2,134,548.00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2,134,548.00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 2: The Reporting Person is not a member of a group. Row 11: Based on 28,398,560 shares of Common Stock outstanding as of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SPAR Group,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EAST BOULEVARD, SUITE 1600, CHARLOTTE, NORTH CAROLINA, 28203.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Rory William Brown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53 Manor Pond Lane, Irvington, NY, 10533</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October 20, 2026, the Reporting Person beneficially owned 2,134,548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Approximately 7.5%, based on 28,398,560 shares of Common Stock outstanding as of August 6, 2026, as reported in the Issuer's Quarterly Report on Form 10-Q for the quarter ended June 30, 2026, filed August 13, 2026.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2,134,548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2,134,548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Dividends and sale proceeds attributable to securities held by the GRANTOR TRUST OF KIMBERLY M. BROWN, GRANTOR TRUST II, and the SP/R, Inc. Defined Benefit Pension Trust are payable directly to the respective trusts. The Reporting Person has no personal right to receive such trust dividends or sale proceeds. The Reporting Person has the sole voting and dispositive power over all securities reported in this statement.</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Brown Rory William</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Rory William Brown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Individual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4905</Characters>
  <CharactersWithSpaces>5859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